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Вченої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ННІПЕіМ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ім. Г.Е.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</w:p>
    <w:p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</w:rPr>
        <w:t>26.09.2019 р.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Басюркіна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Н.Й.,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Бахчиванжи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Г.І.,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Павлов О.І., Савенко І.І.,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І.О., Соловей А.О.,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Ткачук Т.І., Мельник Ю.М.,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Шишко О.Г., Яблонська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Євтушевська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О.О.,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Лагодієнко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М.І., Крижанівська К.В.,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4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завідувача кафедрою соціології, філософії і права,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професора Солов’я А.О.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зміну складу Вченої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ННІПЕіМ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ім. Г.Е.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Вейнштейна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через зміни у штатному розкладі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запропонув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доц.. Мельника Ю.М. замість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Ступницької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 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доц..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Ніколюк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замість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к.е.н</w:t>
      </w:r>
      <w:proofErr w:type="spellEnd"/>
      <w:r>
        <w:rPr>
          <w:rFonts w:ascii="Times New Roman" w:hAnsi="Times New Roman"/>
          <w:sz w:val="28"/>
          <w:lang w:val="uk-UA"/>
        </w:rPr>
        <w:t>., доц. </w:t>
      </w:r>
      <w:proofErr w:type="spellStart"/>
      <w:r>
        <w:rPr>
          <w:rFonts w:ascii="Times New Roman" w:hAnsi="Times New Roman"/>
          <w:sz w:val="28"/>
          <w:lang w:val="uk-UA"/>
        </w:rPr>
        <w:t>Корсіковї</w:t>
      </w:r>
      <w:proofErr w:type="spellEnd"/>
      <w:r>
        <w:rPr>
          <w:rFonts w:ascii="Times New Roman" w:hAnsi="Times New Roman"/>
          <w:sz w:val="28"/>
          <w:lang w:val="uk-UA"/>
        </w:rPr>
        <w:t xml:space="preserve"> Н.М..</w:t>
      </w:r>
    </w:p>
    <w:p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ВИРІШИЛИ: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результатами проведеного відкритого голосування змінити склад Вченої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ННІПЕіМ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ім. Г.Е.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Вейнштейна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відповідно до рекомендації.</w:t>
      </w:r>
    </w:p>
    <w:p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За: 25 осіб </w:t>
      </w:r>
    </w:p>
    <w:p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Проти: немає</w:t>
      </w:r>
    </w:p>
    <w:p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Утрималися: немає</w:t>
      </w:r>
    </w:p>
    <w:p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завідувача кафедрою соціології, філософії і права,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професора Солов’я А.О., який </w:t>
      </w:r>
      <w:r>
        <w:rPr>
          <w:rFonts w:ascii="Times New Roman" w:hAnsi="Times New Roman"/>
          <w:sz w:val="28"/>
          <w:lang w:val="uk-UA"/>
        </w:rPr>
        <w:t xml:space="preserve">запропонував обрати головою Вченої Ради </w:t>
      </w:r>
      <w:proofErr w:type="spellStart"/>
      <w:r>
        <w:rPr>
          <w:rFonts w:ascii="Times New Roman" w:hAnsi="Times New Roman"/>
          <w:sz w:val="28"/>
          <w:lang w:val="uk-UA"/>
        </w:rPr>
        <w:t>ННІПЕіМ</w:t>
      </w:r>
      <w:proofErr w:type="spellEnd"/>
      <w:r>
        <w:rPr>
          <w:rFonts w:ascii="Times New Roman" w:hAnsi="Times New Roman"/>
          <w:sz w:val="28"/>
          <w:lang w:val="uk-UA"/>
        </w:rPr>
        <w:t xml:space="preserve"> ім. Г.Е. </w:t>
      </w:r>
      <w:proofErr w:type="spellStart"/>
      <w:r>
        <w:rPr>
          <w:rFonts w:ascii="Times New Roman" w:hAnsi="Times New Roman"/>
          <w:sz w:val="28"/>
          <w:lang w:val="uk-UA"/>
        </w:rPr>
        <w:t>Вейнштейна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к.е.н</w:t>
      </w:r>
      <w:proofErr w:type="spellEnd"/>
      <w:r>
        <w:rPr>
          <w:rFonts w:ascii="Times New Roman" w:hAnsi="Times New Roman"/>
          <w:sz w:val="28"/>
          <w:lang w:val="uk-UA"/>
        </w:rPr>
        <w:t xml:space="preserve">., доц.. </w:t>
      </w:r>
      <w:r>
        <w:rPr>
          <w:rFonts w:ascii="Times New Roman" w:hAnsi="Times New Roman"/>
          <w:sz w:val="28"/>
          <w:szCs w:val="28"/>
          <w:lang w:val="uk-UA"/>
        </w:rPr>
        <w:t xml:space="preserve">Мельника Ю.М. у зв’язку з призначенням його на посаду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директора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ННІПЕіМ</w:t>
      </w:r>
      <w:proofErr w:type="spellEnd"/>
      <w:r>
        <w:rPr>
          <w:rFonts w:ascii="Times New Roman" w:hAnsi="Times New Roman"/>
          <w:sz w:val="28"/>
          <w:lang w:val="uk-UA"/>
        </w:rPr>
        <w:t xml:space="preserve"> ім. Г.Е. </w:t>
      </w:r>
      <w:proofErr w:type="spellStart"/>
      <w:r>
        <w:rPr>
          <w:rFonts w:ascii="Times New Roman" w:hAnsi="Times New Roman"/>
          <w:sz w:val="28"/>
          <w:lang w:val="uk-UA"/>
        </w:rPr>
        <w:t>Вейнштейна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проведеного відкритого голосування обрати головою </w:t>
      </w:r>
      <w:r>
        <w:rPr>
          <w:rFonts w:ascii="Times New Roman" w:hAnsi="Times New Roman"/>
          <w:sz w:val="28"/>
          <w:lang w:val="uk-UA"/>
        </w:rPr>
        <w:t xml:space="preserve">Вченої Ради </w:t>
      </w:r>
      <w:proofErr w:type="spellStart"/>
      <w:r>
        <w:rPr>
          <w:rFonts w:ascii="Times New Roman" w:hAnsi="Times New Roman"/>
          <w:sz w:val="28"/>
          <w:lang w:val="uk-UA"/>
        </w:rPr>
        <w:t>ННІПЕіМ</w:t>
      </w:r>
      <w:proofErr w:type="spellEnd"/>
      <w:r>
        <w:rPr>
          <w:rFonts w:ascii="Times New Roman" w:hAnsi="Times New Roman"/>
          <w:sz w:val="28"/>
          <w:lang w:val="uk-UA"/>
        </w:rPr>
        <w:t xml:space="preserve"> ім. Г.Е. </w:t>
      </w:r>
      <w:proofErr w:type="spellStart"/>
      <w:r>
        <w:rPr>
          <w:rFonts w:ascii="Times New Roman" w:hAnsi="Times New Roman"/>
          <w:sz w:val="28"/>
          <w:lang w:val="uk-UA"/>
        </w:rPr>
        <w:t>Вейнштейна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к.е.н</w:t>
      </w:r>
      <w:proofErr w:type="spellEnd"/>
      <w:r>
        <w:rPr>
          <w:rFonts w:ascii="Times New Roman" w:hAnsi="Times New Roman"/>
          <w:sz w:val="28"/>
          <w:lang w:val="uk-UA"/>
        </w:rPr>
        <w:t xml:space="preserve">., доц.. </w:t>
      </w:r>
      <w:r>
        <w:rPr>
          <w:rFonts w:ascii="Times New Roman" w:hAnsi="Times New Roman"/>
          <w:sz w:val="28"/>
          <w:szCs w:val="28"/>
          <w:lang w:val="uk-UA"/>
        </w:rPr>
        <w:t>Мельника Ю.М..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За: 25 осіб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Проти: немає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Утрималися: немає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ННІПЕіМ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ім. Г.Е.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Вейнштейна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Мельника Ю.М.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змісту індивідуальних планів, наукових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планів та тем дисертаційних досліджень аспірантів першого року навчання на рівень вищої освіти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PhD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спеціальностями: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денної форми навчання: </w:t>
      </w: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051 «Економіка»: </w:t>
      </w:r>
    </w:p>
    <w:p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Мініної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Вікторії Олександрівни «Розвиток малого та середнього підприємництва в умовах формування інклюзивної економіки». </w:t>
      </w: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Науковий керівник – Павлов О.І.;</w:t>
      </w:r>
    </w:p>
    <w:p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Федорової Тетяни Сергіївни «Формування оптимальної структури капіталу підприємств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агропродовольчої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галузі».</w:t>
      </w: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Науковий керівник – Павлов О.І.;</w:t>
      </w:r>
    </w:p>
    <w:p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Гризи Анатолія Сергійовича «</w:t>
      </w:r>
      <w:r>
        <w:rPr>
          <w:rFonts w:ascii="Times New Roman" w:hAnsi="Times New Roman"/>
          <w:sz w:val="28"/>
          <w:lang w:val="uk-UA"/>
        </w:rPr>
        <w:t>Економічні аспекти безпеки зовнішньоекономічної діяльності підприємств харчової промисловості</w:t>
      </w:r>
      <w:r>
        <w:rPr>
          <w:rFonts w:ascii="Times New Roman" w:hAnsi="Times New Roman"/>
          <w:sz w:val="28"/>
          <w:szCs w:val="28"/>
          <w:lang w:val="uk-UA"/>
        </w:rPr>
        <w:t>».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Науковий керівник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Рогатіна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Л.П.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073 «Менеджмент»:</w:t>
      </w:r>
    </w:p>
    <w:p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Асауленко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 Валеріанівни «Механізми управління інноваційними технологіями на підприємствах індустрії гостинності».</w:t>
      </w: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Науковий керівник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Седікова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І.О.;</w:t>
      </w: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076 «Підприємництво, торгівля та біржова діяльність»:</w:t>
      </w:r>
    </w:p>
    <w:p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Богданова Олександра Олександровича «Маркетингові стратегії розвитку підприємств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агропродовольчої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сфери».</w:t>
      </w: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Науковий керівник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Лагодієнко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В.В.;</w:t>
      </w: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 навчання:</w:t>
      </w: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073 «Менеджмент»:</w:t>
      </w:r>
    </w:p>
    <w:p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Ткачова Валерія Анатолійовича «Удосконалення логістичної системи транспортування зернових вантажів в Україні».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Савенко І.І.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затвердити змісти індивідуальних планів, наукових планів та</w:t>
      </w:r>
      <w:r>
        <w:rPr>
          <w:rFonts w:ascii="Times New Roman" w:hAnsi="Times New Roman"/>
          <w:sz w:val="28"/>
          <w:szCs w:val="28"/>
        </w:rPr>
        <w:t xml:space="preserve"> рекомендувати Вченій Раді ОНАХТ затвердити</w:t>
      </w:r>
      <w:r>
        <w:rPr>
          <w:rFonts w:ascii="Times New Roman" w:hAnsi="Times New Roman" w:cs="Times New Roman"/>
          <w:sz w:val="28"/>
          <w:szCs w:val="28"/>
        </w:rPr>
        <w:t xml:space="preserve"> теми дисертаційних досліджень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аспірантів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першого року навчання на рівень вищої освіти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PhD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За: 25 осіб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Проти: немає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Утрималися: немає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затвердження індивідуа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льних планів докторантів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першого року денної форми навчання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спеціальністю 051 «Економіка»: </w:t>
      </w: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за кошти державного бюджету: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доц. Ткачук Г.О.,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Каламан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Дідуха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С.М..</w:t>
      </w:r>
    </w:p>
    <w:p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за кошти фізичних осіб: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Н.В..</w:t>
      </w:r>
    </w:p>
    <w:p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рекомендувати Вченій Раді ОНАХТ затвердити індивідуальні плани докторантів першого року денної форми навчання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 спеціальністю 051 «Економіка».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За: 25 осіб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Проти: немає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Утрималися: немає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a5"/>
        <w:spacing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СЛУХАЛИ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ННІПЕіМ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ім. Г.Е. </w:t>
      </w:r>
      <w:proofErr w:type="spellStart"/>
      <w:r>
        <w:rPr>
          <w:rFonts w:ascii="Times New Roman" w:hAnsi="Times New Roman"/>
          <w:sz w:val="28"/>
          <w:szCs w:val="28"/>
        </w:rPr>
        <w:t>Вейнштейна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Мельника Ю.М. </w:t>
      </w:r>
      <w:r>
        <w:rPr>
          <w:rFonts w:ascii="Times New Roman" w:eastAsia="Calibri" w:hAnsi="Times New Roman"/>
          <w:sz w:val="28"/>
          <w:szCs w:val="28"/>
          <w:lang w:eastAsia="en-US"/>
        </w:rPr>
        <w:t>стосовно рекомендації до розгляду на Вченій Раді ОНАХТ матеріалів VII Міжнародної науково-практичної конференції «Економічні та соціальні аспекти розвитку України на початку ХХІ століття».</w:t>
      </w:r>
    </w:p>
    <w:p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рекомендувати Вченій Раді ОНАХТ розглянути матеріали VII Міжнародної науково-практичної конференції «Економічні та соціальні аспекти розвитку України на початку ХХІ століття».</w:t>
      </w:r>
    </w:p>
    <w:p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ННІПЕіМ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ім. Г.Е.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Вейнштейна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Мельника Ю.М. щодо графіку подання матеріалів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кафедр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ННІПЕіМ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ім. Г.Е.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Вейнштейна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газету «Технолог» під рубрикою «Думка економістів».</w:t>
      </w:r>
    </w:p>
    <w:p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прийняти інформацію до відома, скласти графік подання матеріалів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між кафедрами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ННІПЕіМ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ім. Г.Е.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Вейнштейна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газету «Технолог» під рубрикою «Думка економістів» .</w:t>
      </w:r>
    </w:p>
    <w:p>
      <w:pPr>
        <w:pStyle w:val="a5"/>
        <w:spacing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 СЛУХАЛИ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ННІПЕіМ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ім. Г.Е. </w:t>
      </w:r>
      <w:proofErr w:type="spellStart"/>
      <w:r>
        <w:rPr>
          <w:rFonts w:ascii="Times New Roman" w:hAnsi="Times New Roman"/>
          <w:sz w:val="28"/>
          <w:szCs w:val="28"/>
        </w:rPr>
        <w:t>Вейнштейна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Мельника Ю.М.,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щодо рекомендації до розгляду на Вченій Раді ОНАХТ колективної монографії кафедри обліку та аудиту під назвою: "Науково-методичні засади оцінки бізнесу в умовах Євроінтеграції" за редакцією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д.е.н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., проф.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Немченко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В.В. до друку.</w:t>
      </w:r>
    </w:p>
    <w:p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 xml:space="preserve">рекомендувати Вченій Раді ОНАХТ розглянути колективну монографію кафедри обліку та аудиту під назвою: "Науково-методичні засади оцінки бізнесу в умовах Євроінтеграції" за редакцією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Немченко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За: 25 осіб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Проти: немає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Утрималися: немає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a5"/>
        <w:spacing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 СЛУХАЛИ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ННІПЕіМ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ім. Г.Е. </w:t>
      </w:r>
      <w:proofErr w:type="spellStart"/>
      <w:r>
        <w:rPr>
          <w:rFonts w:ascii="Times New Roman" w:hAnsi="Times New Roman"/>
          <w:sz w:val="28"/>
          <w:szCs w:val="28"/>
        </w:rPr>
        <w:t>Вейнштейна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Мельника Ю.М.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щодо рекомендації до розгляду на Вченій Раді ОНАХТ колективної монографії кафедри управління бізнесом під назвою: "Інноваційно-інвестиційний розвиток бізнес-структур в Україні" за редакцією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д.е.н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., проф.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Басюркіної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Н.Й. до друку.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рекомендувати Вченій Раді ОНАХТ розглянути колективну монографію </w:t>
      </w:r>
      <w:r>
        <w:rPr>
          <w:rFonts w:ascii="Times New Roman" w:eastAsia="Calibri" w:hAnsi="Times New Roman"/>
          <w:sz w:val="28"/>
          <w:szCs w:val="28"/>
          <w:lang w:eastAsia="en-US"/>
        </w:rPr>
        <w:t>кафедри управління бізнесом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під назвою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"</w:t>
      </w:r>
      <w:r>
        <w:rPr>
          <w:rFonts w:ascii="Times New Roman" w:eastAsia="Calibri" w:hAnsi="Times New Roman"/>
          <w:sz w:val="28"/>
          <w:szCs w:val="28"/>
          <w:lang w:eastAsia="en-US"/>
        </w:rPr>
        <w:t>Інноваційно-інвестиційний розвиток бізнес-структур в Україні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</w:t>
      </w:r>
      <w:r>
        <w:rPr>
          <w:rFonts w:ascii="Times New Roman" w:eastAsia="Calibri" w:hAnsi="Times New Roman"/>
          <w:sz w:val="28"/>
          <w:szCs w:val="28"/>
          <w:lang w:eastAsia="en-US"/>
        </w:rPr>
        <w:t>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редакцією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д.е.н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проф.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Басюркіної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Н.Й..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За: 25 осіб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Проти: немає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Утрималися: немає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Мельника Ю.М. 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одо своєчасності подання інформації для формування наказу на комплексне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міжкафедральне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міжвузівське дипломне проектування.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прийняти інформацію до відома та надати необхідну інформацію від кафедр до 01.10.2019 р.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д.е.н</w:t>
      </w:r>
      <w:proofErr w:type="spellEnd"/>
      <w:r>
        <w:rPr>
          <w:rFonts w:ascii="Times New Roman" w:hAnsi="Times New Roman" w:cs="Times New Roman"/>
          <w:sz w:val="28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</w:rPr>
        <w:t>Лагодієнко</w:t>
      </w:r>
      <w:proofErr w:type="spellEnd"/>
      <w:r>
        <w:rPr>
          <w:rFonts w:ascii="Times New Roman" w:hAnsi="Times New Roman" w:cs="Times New Roman"/>
          <w:sz w:val="28"/>
        </w:rPr>
        <w:t xml:space="preserve"> В.В. про відрахування з аспірантури за власним бажанням за сімейними обставинами після відпустки по догляду за дитиною до досягнення нею трирічного віку </w:t>
      </w:r>
      <w:proofErr w:type="spellStart"/>
      <w:r>
        <w:rPr>
          <w:rFonts w:ascii="Times New Roman" w:hAnsi="Times New Roman" w:cs="Times New Roman"/>
          <w:sz w:val="28"/>
        </w:rPr>
        <w:t>Дутки</w:t>
      </w:r>
      <w:proofErr w:type="spellEnd"/>
      <w:r>
        <w:rPr>
          <w:rFonts w:ascii="Times New Roman" w:hAnsi="Times New Roman" w:cs="Times New Roman"/>
          <w:sz w:val="28"/>
        </w:rPr>
        <w:t xml:space="preserve"> Юлії Юріївни, аспірантки ІІ року навчання без відриву від виробництва кафедри маркетингу, підприємництва і торгівлі на умовах договору. Науковий керівник – </w:t>
      </w:r>
      <w:proofErr w:type="spellStart"/>
      <w:r>
        <w:rPr>
          <w:rFonts w:ascii="Times New Roman" w:hAnsi="Times New Roman" w:cs="Times New Roman"/>
          <w:sz w:val="28"/>
        </w:rPr>
        <w:t>Голубьонкова</w:t>
      </w:r>
      <w:proofErr w:type="spellEnd"/>
      <w:r>
        <w:rPr>
          <w:rFonts w:ascii="Times New Roman" w:hAnsi="Times New Roman" w:cs="Times New Roman"/>
          <w:sz w:val="28"/>
        </w:rPr>
        <w:t xml:space="preserve"> О.О., канд.. економ. наук, доцент кафедри маркетингу, підприємництва і торгівлі.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proofErr w:type="spellStart"/>
      <w:r>
        <w:rPr>
          <w:rFonts w:ascii="Times New Roman" w:hAnsi="Times New Roman" w:cs="Times New Roman"/>
          <w:sz w:val="28"/>
        </w:rPr>
        <w:t>Дутку</w:t>
      </w:r>
      <w:proofErr w:type="spellEnd"/>
      <w:r>
        <w:rPr>
          <w:rFonts w:ascii="Times New Roman" w:hAnsi="Times New Roman" w:cs="Times New Roman"/>
          <w:sz w:val="28"/>
        </w:rPr>
        <w:t xml:space="preserve"> Юлію Юріївну, аспірантку ІІ року навчання без відриву від виробництва кафедри маркетингу, підприємництва і торгівлі на умовах договору, відрахувати з аспірантури за власним бажанням за сімейними обставинами після відпустки по догляду за дитиною до досягнення нею трирічного віку.</w:t>
      </w:r>
    </w:p>
    <w:p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Голова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ім. Г.Е.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Вейнштейна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Ю.М. Мельник</w:t>
      </w: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 Ради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А.О.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Бурмака</w:t>
      </w:r>
      <w:proofErr w:type="spellEnd"/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6098"/>
    <w:multiLevelType w:val="hybridMultilevel"/>
    <w:tmpl w:val="BCC8BF6C"/>
    <w:lvl w:ilvl="0" w:tplc="0F3E223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97B3D"/>
    <w:multiLevelType w:val="hybridMultilevel"/>
    <w:tmpl w:val="BD5E53DC"/>
    <w:lvl w:ilvl="0" w:tplc="8410F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936951"/>
    <w:multiLevelType w:val="hybridMultilevel"/>
    <w:tmpl w:val="A9D86496"/>
    <w:lvl w:ilvl="0" w:tplc="51A8F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4421B"/>
    <w:multiLevelType w:val="multilevel"/>
    <w:tmpl w:val="8F18286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>
    <w:nsid w:val="6B2130C9"/>
    <w:multiLevelType w:val="hybridMultilevel"/>
    <w:tmpl w:val="CBAE6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5">
    <w:name w:val="Body Text Indent"/>
    <w:basedOn w:val="a"/>
    <w:link w:val="a6"/>
    <w:pPr>
      <w:spacing w:after="120" w:line="240" w:lineRule="auto"/>
      <w:ind w:left="283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HAnsi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приемка14</cp:lastModifiedBy>
  <cp:revision>26</cp:revision>
  <dcterms:created xsi:type="dcterms:W3CDTF">2019-04-09T06:57:00Z</dcterms:created>
  <dcterms:modified xsi:type="dcterms:W3CDTF">2019-12-17T12:25:00Z</dcterms:modified>
</cp:coreProperties>
</file>