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28" w:rsidRPr="001B66F1" w:rsidRDefault="00A24016" w:rsidP="00A24016">
      <w:pPr>
        <w:jc w:val="center"/>
        <w:rPr>
          <w:b/>
        </w:rPr>
      </w:pPr>
      <w:bookmarkStart w:id="0" w:name="_GoBack"/>
      <w:bookmarkEnd w:id="0"/>
      <w:r w:rsidRPr="001B66F1">
        <w:rPr>
          <w:b/>
        </w:rPr>
        <w:t>V International Scientific-</w:t>
      </w:r>
      <w:r w:rsidR="00690FBA" w:rsidRPr="001B66F1">
        <w:rPr>
          <w:b/>
        </w:rPr>
        <w:t>P</w:t>
      </w:r>
      <w:r w:rsidRPr="001B66F1">
        <w:rPr>
          <w:b/>
        </w:rPr>
        <w:t xml:space="preserve">ractical </w:t>
      </w:r>
      <w:r w:rsidR="00690FBA" w:rsidRPr="001B66F1">
        <w:rPr>
          <w:b/>
        </w:rPr>
        <w:t>C</w:t>
      </w:r>
      <w:r w:rsidRPr="001B66F1">
        <w:rPr>
          <w:b/>
        </w:rPr>
        <w:t>onference</w:t>
      </w:r>
    </w:p>
    <w:p w:rsidR="00A24016" w:rsidRPr="001B66F1" w:rsidRDefault="00A24016" w:rsidP="00A24016">
      <w:pPr>
        <w:jc w:val="center"/>
        <w:rPr>
          <w:b/>
        </w:rPr>
      </w:pPr>
      <w:r w:rsidRPr="001B66F1">
        <w:rPr>
          <w:b/>
        </w:rPr>
        <w:t xml:space="preserve">“Problems of the formation and development of </w:t>
      </w:r>
      <w:r w:rsidR="007362A6" w:rsidRPr="001B66F1">
        <w:rPr>
          <w:b/>
        </w:rPr>
        <w:t xml:space="preserve">the </w:t>
      </w:r>
      <w:r w:rsidRPr="001B66F1">
        <w:rPr>
          <w:b/>
        </w:rPr>
        <w:t>innovati</w:t>
      </w:r>
      <w:r w:rsidR="00690FBA" w:rsidRPr="001B66F1">
        <w:rPr>
          <w:b/>
        </w:rPr>
        <w:t>ve</w:t>
      </w:r>
      <w:r w:rsidRPr="001B66F1">
        <w:rPr>
          <w:b/>
        </w:rPr>
        <w:t xml:space="preserve"> infrastructure”</w:t>
      </w:r>
    </w:p>
    <w:p w:rsidR="001B66F1" w:rsidRDefault="001B66F1">
      <w:pPr>
        <w:rPr>
          <w:b/>
          <w:lang w:val="uk-UA"/>
        </w:rPr>
      </w:pPr>
    </w:p>
    <w:p w:rsidR="00A24016" w:rsidRDefault="00A24016">
      <w:pPr>
        <w:rPr>
          <w:b/>
          <w:lang w:val="uk-UA"/>
        </w:rPr>
      </w:pPr>
      <w:r w:rsidRPr="001B66F1">
        <w:rPr>
          <w:b/>
        </w:rPr>
        <w:t>Date: May 23-24, 2019</w:t>
      </w:r>
    </w:p>
    <w:p w:rsidR="001B66F1" w:rsidRPr="001B66F1" w:rsidRDefault="001B66F1">
      <w:pPr>
        <w:rPr>
          <w:b/>
          <w:lang w:val="uk-UA"/>
        </w:rPr>
      </w:pPr>
    </w:p>
    <w:p w:rsidR="00A24016" w:rsidRDefault="00A24016">
      <w:r w:rsidRPr="001B66F1">
        <w:rPr>
          <w:b/>
        </w:rPr>
        <w:t>Objective:</w:t>
      </w:r>
      <w:r>
        <w:t xml:space="preserve"> To combine the efforts of the successful entrepreneurs and creative researchers in order to form the modern innovation infrastructure.</w:t>
      </w:r>
    </w:p>
    <w:p w:rsidR="00A24016" w:rsidRDefault="00A24016">
      <w:r w:rsidRPr="001B66F1">
        <w:rPr>
          <w:b/>
        </w:rPr>
        <w:t>Format:</w:t>
      </w:r>
      <w:r>
        <w:t xml:space="preserve"> Conduct of the panel discussions </w:t>
      </w:r>
      <w:r w:rsidR="007362A6">
        <w:t>involving the</w:t>
      </w:r>
      <w:r>
        <w:t xml:space="preserve"> Ukrainian and international leading researchers and practitioners.</w:t>
      </w:r>
    </w:p>
    <w:p w:rsidR="00A24016" w:rsidRDefault="00A24016">
      <w:r w:rsidRPr="001B66F1">
        <w:rPr>
          <w:b/>
        </w:rPr>
        <w:t>Organizers:</w:t>
      </w:r>
      <w:r>
        <w:t xml:space="preserve"> Department of Busine</w:t>
      </w:r>
      <w:r w:rsidR="007362A6">
        <w:t>ss Economics and Investment and</w:t>
      </w:r>
      <w:r>
        <w:t xml:space="preserve"> innovative business center “</w:t>
      </w:r>
      <w:r w:rsidR="00C06019">
        <w:t>T</w:t>
      </w:r>
      <w:r>
        <w:t xml:space="preserve">ech Startup School” of </w:t>
      </w:r>
      <w:proofErr w:type="spellStart"/>
      <w:r>
        <w:t>Lviv</w:t>
      </w:r>
      <w:proofErr w:type="spellEnd"/>
      <w:r>
        <w:t xml:space="preserve"> Polytechnic National University.</w:t>
      </w:r>
    </w:p>
    <w:p w:rsidR="00203C3E" w:rsidRDefault="00203C3E">
      <w:pPr>
        <w:rPr>
          <w:b/>
          <w:lang w:val="uk-UA"/>
        </w:rPr>
      </w:pPr>
    </w:p>
    <w:p w:rsidR="00A24016" w:rsidRPr="001B66F1" w:rsidRDefault="00A24016">
      <w:pPr>
        <w:rPr>
          <w:b/>
        </w:rPr>
      </w:pPr>
      <w:r w:rsidRPr="001B66F1">
        <w:rPr>
          <w:b/>
        </w:rPr>
        <w:t>Discussion topics:</w:t>
      </w:r>
    </w:p>
    <w:p w:rsidR="00A24016" w:rsidRPr="001B66F1" w:rsidRDefault="00A24016">
      <w:pPr>
        <w:rPr>
          <w:b/>
        </w:rPr>
      </w:pPr>
      <w:r w:rsidRPr="001B66F1">
        <w:rPr>
          <w:b/>
        </w:rPr>
        <w:t>23</w:t>
      </w:r>
      <w:r w:rsidR="007362A6" w:rsidRPr="001B66F1">
        <w:rPr>
          <w:b/>
        </w:rPr>
        <w:t>.</w:t>
      </w:r>
      <w:r w:rsidRPr="001B66F1">
        <w:rPr>
          <w:b/>
        </w:rPr>
        <w:t>05.2019</w:t>
      </w:r>
    </w:p>
    <w:p w:rsidR="00A24016" w:rsidRPr="001B66F1" w:rsidRDefault="00A24016">
      <w:pPr>
        <w:rPr>
          <w:b/>
        </w:rPr>
      </w:pPr>
      <w:r w:rsidRPr="001B66F1">
        <w:rPr>
          <w:b/>
        </w:rPr>
        <w:t>1. Digital economy and the formation of the innovative infrastructure: realities, future prospects, and challenges.</w:t>
      </w:r>
    </w:p>
    <w:p w:rsidR="00A24016" w:rsidRDefault="00A24016">
      <w:r w:rsidRPr="007362A6">
        <w:rPr>
          <w:u w:val="single"/>
        </w:rPr>
        <w:t>Key issues:</w:t>
      </w:r>
      <w:r>
        <w:t xml:space="preserve"> Discussion of the current scientific and applied provisions </w:t>
      </w:r>
      <w:r w:rsidR="00737643">
        <w:t>related towards the</w:t>
      </w:r>
      <w:r>
        <w:t xml:space="preserve"> development of innovative infrastructure </w:t>
      </w:r>
      <w:r w:rsidR="00737643">
        <w:t>within the framework of</w:t>
      </w:r>
      <w:r w:rsidR="007362A6">
        <w:t xml:space="preserve"> changes, occurring in</w:t>
      </w:r>
      <w:r>
        <w:t xml:space="preserve"> Ukrainian and world economy;</w:t>
      </w:r>
    </w:p>
    <w:p w:rsidR="00A24016" w:rsidRPr="001B66F1" w:rsidRDefault="00C06019">
      <w:pPr>
        <w:rPr>
          <w:b/>
        </w:rPr>
      </w:pPr>
      <w:r w:rsidRPr="001B66F1">
        <w:rPr>
          <w:b/>
        </w:rPr>
        <w:t xml:space="preserve">2. Development of innovative infrastructure </w:t>
      </w:r>
      <w:r w:rsidR="00737643" w:rsidRPr="001B66F1">
        <w:rPr>
          <w:b/>
        </w:rPr>
        <w:t>within the scope of</w:t>
      </w:r>
      <w:r w:rsidRPr="001B66F1">
        <w:rPr>
          <w:b/>
        </w:rPr>
        <w:t xml:space="preserve"> knowledge and technologies</w:t>
      </w:r>
      <w:r w:rsidR="00737643" w:rsidRPr="001B66F1">
        <w:rPr>
          <w:b/>
        </w:rPr>
        <w:t xml:space="preserve"> reformation chains</w:t>
      </w:r>
      <w:r w:rsidRPr="001B66F1">
        <w:rPr>
          <w:b/>
        </w:rPr>
        <w:t>.</w:t>
      </w:r>
    </w:p>
    <w:p w:rsidR="00C06019" w:rsidRDefault="00C06019">
      <w:r w:rsidRPr="007362A6">
        <w:rPr>
          <w:u w:val="single"/>
        </w:rPr>
        <w:t>Key issues:</w:t>
      </w:r>
      <w:r>
        <w:t xml:space="preserve"> Discussion of the </w:t>
      </w:r>
      <w:r w:rsidR="00C478D3">
        <w:t>problematics</w:t>
      </w:r>
      <w:r>
        <w:t xml:space="preserve"> of transfer and commercialization of technologies, advancement of the </w:t>
      </w:r>
      <w:r w:rsidR="007362A6">
        <w:t>effectiveness</w:t>
      </w:r>
      <w:r>
        <w:t xml:space="preserve"> of </w:t>
      </w:r>
      <w:r w:rsidR="007362A6">
        <w:t xml:space="preserve">stakeholders’ </w:t>
      </w:r>
      <w:r>
        <w:t>interaction existing within the framework of innovative infrastructures.</w:t>
      </w:r>
    </w:p>
    <w:p w:rsidR="00C06019" w:rsidRDefault="00C06019">
      <w:r>
        <w:t>Discussions of dialogues “participants of the conference as the FORBS rate entrepreneurs”.</w:t>
      </w:r>
    </w:p>
    <w:p w:rsidR="00C06019" w:rsidRPr="001B66F1" w:rsidRDefault="007362A6">
      <w:pPr>
        <w:rPr>
          <w:b/>
        </w:rPr>
      </w:pPr>
      <w:r w:rsidRPr="001B66F1">
        <w:rPr>
          <w:b/>
        </w:rPr>
        <w:t xml:space="preserve">3. </w:t>
      </w:r>
      <w:r w:rsidR="00C06019" w:rsidRPr="001B66F1">
        <w:rPr>
          <w:b/>
        </w:rPr>
        <w:t>Development of startups on the basis of mentorship and interaction existing between the participants of innovative infrastructure.</w:t>
      </w:r>
    </w:p>
    <w:p w:rsidR="00C06019" w:rsidRDefault="00C06019">
      <w:r w:rsidRPr="007362A6">
        <w:rPr>
          <w:u w:val="single"/>
        </w:rPr>
        <w:t>Key issues:</w:t>
      </w:r>
      <w:r>
        <w:t xml:space="preserve">  the history of successes and failures using the perspective of famous world start-ups, researchers and entrepreneurs; problems of the formation and resource provision of the</w:t>
      </w:r>
      <w:r w:rsidR="007362A6">
        <w:t xml:space="preserve"> </w:t>
      </w:r>
      <w:r>
        <w:t>“Tech Startup School” crowdfunding platform.</w:t>
      </w:r>
    </w:p>
    <w:p w:rsidR="00C06019" w:rsidRPr="001B66F1" w:rsidRDefault="00C06019">
      <w:pPr>
        <w:rPr>
          <w:b/>
        </w:rPr>
      </w:pPr>
      <w:r w:rsidRPr="001B66F1">
        <w:rPr>
          <w:b/>
        </w:rPr>
        <w:t xml:space="preserve">4. </w:t>
      </w:r>
      <w:r w:rsidR="00C478D3" w:rsidRPr="001B66F1">
        <w:rPr>
          <w:b/>
        </w:rPr>
        <w:t>Resources’ provision problems of start-ups development</w:t>
      </w:r>
      <w:r w:rsidR="00F1477D" w:rsidRPr="001B66F1">
        <w:rPr>
          <w:b/>
        </w:rPr>
        <w:t xml:space="preserve"> and the subjects of the innovative infrastructure.</w:t>
      </w:r>
    </w:p>
    <w:p w:rsidR="00F1477D" w:rsidRDefault="00F1477D">
      <w:r w:rsidRPr="00737643">
        <w:rPr>
          <w:u w:val="single"/>
        </w:rPr>
        <w:t>Key issues:</w:t>
      </w:r>
      <w:r>
        <w:t xml:space="preserve"> Is there </w:t>
      </w:r>
      <w:r w:rsidR="00737643">
        <w:t>an</w:t>
      </w:r>
      <w:r>
        <w:t xml:space="preserve"> adequate application of creativity and ideas under </w:t>
      </w:r>
      <w:r w:rsidR="00C478D3">
        <w:t xml:space="preserve">current restricted resources </w:t>
      </w:r>
      <w:r>
        <w:t>considerations of researchers, business, and government.</w:t>
      </w:r>
    </w:p>
    <w:p w:rsidR="001B66F1" w:rsidRDefault="001B66F1">
      <w:pPr>
        <w:rPr>
          <w:b/>
          <w:lang w:val="uk-UA"/>
        </w:rPr>
      </w:pPr>
    </w:p>
    <w:p w:rsidR="00F1477D" w:rsidRPr="001B66F1" w:rsidRDefault="00F1477D">
      <w:pPr>
        <w:rPr>
          <w:b/>
        </w:rPr>
      </w:pPr>
      <w:r w:rsidRPr="001B66F1">
        <w:rPr>
          <w:b/>
        </w:rPr>
        <w:t xml:space="preserve">The conference will be held on the occasion of Innovative Spring 2019 </w:t>
      </w:r>
      <w:r w:rsidR="00737643" w:rsidRPr="001B66F1">
        <w:rPr>
          <w:b/>
        </w:rPr>
        <w:t>F</w:t>
      </w:r>
      <w:r w:rsidRPr="001B66F1">
        <w:rPr>
          <w:b/>
        </w:rPr>
        <w:t xml:space="preserve">orum. Its participants will obtain a </w:t>
      </w:r>
      <w:r w:rsidR="00690FBA" w:rsidRPr="001B66F1">
        <w:rPr>
          <w:b/>
        </w:rPr>
        <w:t>possibility to</w:t>
      </w:r>
      <w:r w:rsidRPr="001B66F1">
        <w:rPr>
          <w:b/>
        </w:rPr>
        <w:t xml:space="preserve"> visit the scientific-technological exhibitions located on the territory of Tech Startup School, thematic masterclasses, workshops, presentations, and startups’ pitch sessions.</w:t>
      </w:r>
    </w:p>
    <w:p w:rsidR="00F1477D" w:rsidRPr="001B66F1" w:rsidRDefault="00F1477D" w:rsidP="00F1477D">
      <w:pPr>
        <w:rPr>
          <w:b/>
        </w:rPr>
      </w:pPr>
      <w:r w:rsidRPr="001B66F1">
        <w:rPr>
          <w:b/>
        </w:rPr>
        <w:t xml:space="preserve">Participation is free: the conference is held at the expense of patrons and graduates of the Department of Business Economics and Investment </w:t>
      </w:r>
      <w:r w:rsidR="00737643" w:rsidRPr="001B66F1">
        <w:rPr>
          <w:b/>
        </w:rPr>
        <w:t>and innovative</w:t>
      </w:r>
      <w:r w:rsidRPr="001B66F1">
        <w:rPr>
          <w:b/>
        </w:rPr>
        <w:t xml:space="preserve"> business center “Tech Startup School” of </w:t>
      </w:r>
      <w:proofErr w:type="spellStart"/>
      <w:r w:rsidRPr="001B66F1">
        <w:rPr>
          <w:b/>
        </w:rPr>
        <w:t>Lviv</w:t>
      </w:r>
      <w:proofErr w:type="spellEnd"/>
      <w:r w:rsidRPr="001B66F1">
        <w:rPr>
          <w:b/>
        </w:rPr>
        <w:t xml:space="preserve"> Polytechnic National University.</w:t>
      </w:r>
    </w:p>
    <w:p w:rsidR="001B66F1" w:rsidRDefault="001B66F1" w:rsidP="00F1477D">
      <w:pPr>
        <w:rPr>
          <w:lang w:val="uk-UA"/>
        </w:rPr>
      </w:pPr>
    </w:p>
    <w:p w:rsidR="00F1477D" w:rsidRPr="001B66F1" w:rsidRDefault="00F1477D" w:rsidP="00F1477D">
      <w:pPr>
        <w:rPr>
          <w:b/>
        </w:rPr>
      </w:pPr>
      <w:r w:rsidRPr="001B66F1">
        <w:rPr>
          <w:b/>
        </w:rPr>
        <w:t xml:space="preserve">Provided publications: </w:t>
      </w:r>
    </w:p>
    <w:p w:rsidR="00F1477D" w:rsidRDefault="00F1477D" w:rsidP="00F1477D">
      <w:r w:rsidRPr="001B66F1">
        <w:rPr>
          <w:b/>
        </w:rPr>
        <w:t>The reports theses</w:t>
      </w:r>
      <w:r>
        <w:t xml:space="preserve"> </w:t>
      </w:r>
      <w:r w:rsidR="00690FBA">
        <w:t>are filed free of charge by both internal and extramural participants. Collection of these</w:t>
      </w:r>
      <w:r w:rsidR="00737643">
        <w:t>s</w:t>
      </w:r>
      <w:r w:rsidR="00690FBA">
        <w:t xml:space="preserve"> will be registered as an electronic publication, with the assignment of ISBN and other necessary data. The collection will be provided the author of the mailbox, indicated in the rights registration. </w:t>
      </w:r>
    </w:p>
    <w:p w:rsidR="00690FBA" w:rsidRDefault="00690FBA" w:rsidP="00F1477D">
      <w:r w:rsidRPr="001B66F1">
        <w:rPr>
          <w:b/>
        </w:rPr>
        <w:t>The specialty article</w:t>
      </w:r>
      <w:r>
        <w:t xml:space="preserve"> will be demanded </w:t>
      </w:r>
      <w:r w:rsidR="00737643">
        <w:t>from</w:t>
      </w:r>
      <w:r>
        <w:t xml:space="preserve"> the internal students only. The participants will have to submit their articles towards the organizing committee on the date of conference.</w:t>
      </w:r>
    </w:p>
    <w:p w:rsidR="00F1477D" w:rsidRPr="009E727E" w:rsidRDefault="00737643">
      <w:pPr>
        <w:rPr>
          <w:rFonts w:ascii="Tahoma" w:hAnsi="Tahoma" w:cs="Tahoma"/>
        </w:rPr>
      </w:pPr>
      <w:r>
        <w:t xml:space="preserve">Only duly </w:t>
      </w:r>
      <w:r w:rsidRPr="009E727E">
        <w:rPr>
          <w:rFonts w:ascii="Tahoma" w:hAnsi="Tahoma" w:cs="Tahoma"/>
        </w:rPr>
        <w:t xml:space="preserve">made and executed articles </w:t>
      </w:r>
      <w:r w:rsidR="00690FBA" w:rsidRPr="009E727E">
        <w:rPr>
          <w:rFonts w:ascii="Tahoma" w:hAnsi="Tahoma" w:cs="Tahoma"/>
        </w:rPr>
        <w:t>will be accepted towards consideration.</w:t>
      </w:r>
    </w:p>
    <w:p w:rsidR="00297337" w:rsidRDefault="00297337">
      <w:pPr>
        <w:rPr>
          <w:rFonts w:ascii="Tahoma" w:hAnsi="Tahoma" w:cs="Tahoma"/>
          <w:b/>
        </w:rPr>
      </w:pPr>
    </w:p>
    <w:p w:rsidR="009E727E" w:rsidRPr="00AF2AC2" w:rsidRDefault="009E727E">
      <w:pPr>
        <w:rPr>
          <w:rFonts w:ascii="Tahoma" w:hAnsi="Tahoma" w:cs="Tahoma"/>
          <w:b/>
          <w:sz w:val="24"/>
          <w:lang w:val="uk-UA"/>
        </w:rPr>
      </w:pPr>
      <w:proofErr w:type="spellStart"/>
      <w:r w:rsidRPr="009E727E">
        <w:rPr>
          <w:rFonts w:ascii="Tahoma" w:hAnsi="Tahoma" w:cs="Tahoma"/>
          <w:b/>
          <w:lang w:val="uk-UA"/>
        </w:rPr>
        <w:t>Requirements</w:t>
      </w:r>
      <w:proofErr w:type="spellEnd"/>
      <w:r w:rsidRPr="009E727E">
        <w:rPr>
          <w:rFonts w:ascii="Tahoma" w:hAnsi="Tahoma" w:cs="Tahoma"/>
          <w:b/>
          <w:lang w:val="uk-UA"/>
        </w:rPr>
        <w:t xml:space="preserve"> </w:t>
      </w:r>
      <w:proofErr w:type="spellStart"/>
      <w:r w:rsidRPr="009E727E">
        <w:rPr>
          <w:rFonts w:ascii="Tahoma" w:hAnsi="Tahoma" w:cs="Tahoma"/>
          <w:b/>
          <w:lang w:val="uk-UA"/>
        </w:rPr>
        <w:t>for</w:t>
      </w:r>
      <w:proofErr w:type="spellEnd"/>
      <w:r w:rsidRPr="009E727E">
        <w:rPr>
          <w:rFonts w:ascii="Tahoma" w:hAnsi="Tahoma" w:cs="Tahoma"/>
          <w:b/>
          <w:lang w:val="uk-UA"/>
        </w:rPr>
        <w:t xml:space="preserve"> </w:t>
      </w:r>
      <w:proofErr w:type="spellStart"/>
      <w:r w:rsidRPr="009E727E">
        <w:rPr>
          <w:rFonts w:ascii="Tahoma" w:hAnsi="Tahoma" w:cs="Tahoma"/>
          <w:b/>
          <w:lang w:val="uk-UA"/>
        </w:rPr>
        <w:t>abstracts</w:t>
      </w:r>
      <w:proofErr w:type="spellEnd"/>
      <w:r w:rsidRPr="009E727E">
        <w:rPr>
          <w:rFonts w:ascii="Tahoma" w:hAnsi="Tahoma" w:cs="Tahoma"/>
          <w:b/>
          <w:lang w:val="uk-UA"/>
        </w:rPr>
        <w:t>:</w:t>
      </w:r>
      <w:r w:rsidR="00B57C50">
        <w:rPr>
          <w:rFonts w:ascii="Tahoma" w:hAnsi="Tahoma" w:cs="Tahoma"/>
          <w:b/>
        </w:rPr>
        <w:t xml:space="preserve"> </w:t>
      </w:r>
      <w:hyperlink r:id="rId5" w:tgtFrame="_blank" w:history="1">
        <w:r w:rsidR="00AF2AC2" w:rsidRPr="00AF2AC2">
          <w:rPr>
            <w:rStyle w:val="a7"/>
            <w:rFonts w:ascii="Arial" w:eastAsia="Arial Unicode MS" w:hAnsi="Arial" w:cs="Arial"/>
            <w:color w:val="1155CC"/>
            <w:sz w:val="24"/>
            <w:shd w:val="clear" w:color="auto" w:fill="FFFFFF"/>
          </w:rPr>
          <w:t>https://drive.google.com/open?id=1kumuaiVYdEP3kFCW4bP2l3MlpIp73_5y</w:t>
        </w:r>
      </w:hyperlink>
    </w:p>
    <w:p w:rsidR="00E90EE0" w:rsidRPr="009E727E" w:rsidRDefault="009E727E" w:rsidP="00E90EE0">
      <w:pPr>
        <w:rPr>
          <w:rFonts w:ascii="Tahoma" w:hAnsi="Tahoma" w:cs="Tahoma"/>
          <w:sz w:val="24"/>
          <w:lang w:eastAsia="uk-UA"/>
        </w:rPr>
      </w:pPr>
      <w:r>
        <w:rPr>
          <w:rFonts w:ascii="Tahoma" w:hAnsi="Tahoma" w:cs="Tahoma"/>
          <w:b/>
        </w:rPr>
        <w:lastRenderedPageBreak/>
        <w:t>Registration appli</w:t>
      </w:r>
      <w:r w:rsidRPr="009E727E">
        <w:rPr>
          <w:rFonts w:ascii="Tahoma" w:hAnsi="Tahoma" w:cs="Tahoma"/>
          <w:b/>
        </w:rPr>
        <w:t>cation</w:t>
      </w:r>
      <w:r w:rsidRPr="009E727E">
        <w:rPr>
          <w:rFonts w:ascii="Tahoma" w:hAnsi="Tahoma" w:cs="Tahoma"/>
        </w:rPr>
        <w:t>:</w:t>
      </w:r>
      <w:r>
        <w:rPr>
          <w:rFonts w:ascii="Tahoma" w:hAnsi="Tahoma" w:cs="Tahoma"/>
        </w:rPr>
        <w:t xml:space="preserve"> </w:t>
      </w:r>
      <w:hyperlink r:id="rId6" w:tgtFrame="_blank" w:history="1">
        <w:r w:rsidR="00E90EE0" w:rsidRPr="009E727E">
          <w:rPr>
            <w:rFonts w:ascii="Tahoma" w:hAnsi="Tahoma" w:cs="Tahoma"/>
            <w:color w:val="1155CC"/>
            <w:sz w:val="24"/>
            <w:u w:val="single"/>
            <w:lang w:eastAsia="uk-UA"/>
          </w:rPr>
          <w:t>https://goo.gl/forms/5pGjXakMPwwlZwQz2</w:t>
        </w:r>
      </w:hyperlink>
    </w:p>
    <w:p w:rsidR="00E90EE0" w:rsidRPr="009E727E" w:rsidRDefault="00E90EE0" w:rsidP="00E90EE0">
      <w:pPr>
        <w:tabs>
          <w:tab w:val="left" w:pos="284"/>
        </w:tabs>
        <w:spacing w:line="264" w:lineRule="auto"/>
        <w:jc w:val="both"/>
        <w:rPr>
          <w:rFonts w:ascii="Tahoma" w:hAnsi="Tahoma" w:cs="Tahoma"/>
          <w:b/>
          <w:sz w:val="24"/>
          <w:lang w:val="uk-UA"/>
        </w:rPr>
      </w:pPr>
    </w:p>
    <w:p w:rsidR="00E90EE0" w:rsidRDefault="009E727E" w:rsidP="00E90EE0">
      <w:pPr>
        <w:shd w:val="clear" w:color="auto" w:fill="FFFFFF"/>
        <w:spacing w:before="100" w:beforeAutospacing="1" w:after="100" w:afterAutospacing="1"/>
        <w:rPr>
          <w:rFonts w:ascii="Tahoma" w:hAnsi="Tahoma" w:cs="Tahoma"/>
          <w:lang w:val="uk-UA"/>
        </w:rPr>
      </w:pPr>
      <w:r w:rsidRPr="009E727E">
        <w:rPr>
          <w:rFonts w:ascii="Tahoma" w:hAnsi="Tahoma" w:cs="Tahoma"/>
          <w:b/>
          <w:sz w:val="24"/>
        </w:rPr>
        <w:t>E-mail the organizing committee</w:t>
      </w:r>
      <w:r w:rsidR="00E90EE0" w:rsidRPr="009E727E">
        <w:rPr>
          <w:rFonts w:ascii="Tahoma" w:hAnsi="Tahoma" w:cs="Tahoma"/>
          <w:b/>
          <w:sz w:val="24"/>
          <w:lang w:val="uk-UA"/>
        </w:rPr>
        <w:t xml:space="preserve">: </w:t>
      </w:r>
      <w:hyperlink r:id="rId7" w:tgtFrame="_blank" w:history="1">
        <w:r w:rsidR="00E90EE0" w:rsidRPr="009E727E">
          <w:rPr>
            <w:rFonts w:ascii="Tahoma" w:hAnsi="Tahoma" w:cs="Tahoma"/>
            <w:color w:val="1155CC"/>
            <w:sz w:val="24"/>
            <w:u w:val="single"/>
            <w:lang w:eastAsia="uk-UA"/>
          </w:rPr>
          <w:t>konferenciareestracia@gmail.com</w:t>
        </w:r>
      </w:hyperlink>
    </w:p>
    <w:p w:rsidR="00B57C50" w:rsidRPr="005F4F0B" w:rsidRDefault="00B57C50" w:rsidP="00E90EE0">
      <w:pPr>
        <w:shd w:val="clear" w:color="auto" w:fill="FFFFFF"/>
        <w:spacing w:before="100" w:beforeAutospacing="1" w:after="100" w:afterAutospacing="1"/>
        <w:rPr>
          <w:rFonts w:ascii="Tahoma" w:hAnsi="Tahoma" w:cs="Tahoma"/>
          <w:color w:val="222222"/>
          <w:sz w:val="22"/>
          <w:szCs w:val="22"/>
          <w:lang w:val="ru-RU" w:eastAsia="uk-UA"/>
        </w:rPr>
      </w:pPr>
      <w:r w:rsidRPr="005F4F0B">
        <w:rPr>
          <w:rFonts w:ascii="Tahoma" w:hAnsi="Tahoma" w:cs="Tahoma"/>
          <w:b/>
          <w:sz w:val="22"/>
          <w:szCs w:val="22"/>
        </w:rPr>
        <w:t>Phone:</w:t>
      </w:r>
      <w:r w:rsidRPr="005F4F0B">
        <w:rPr>
          <w:rFonts w:ascii="Tahoma" w:hAnsi="Tahoma" w:cs="Tahoma"/>
          <w:sz w:val="22"/>
          <w:szCs w:val="22"/>
        </w:rPr>
        <w:t xml:space="preserve"> </w:t>
      </w:r>
      <w:r w:rsidRPr="005F4F0B">
        <w:rPr>
          <w:rFonts w:ascii="Tahoma" w:hAnsi="Tahoma" w:cs="Tahoma"/>
          <w:sz w:val="22"/>
          <w:szCs w:val="22"/>
          <w:lang w:val="ru-RU"/>
        </w:rPr>
        <w:t>(</w:t>
      </w:r>
      <w:r w:rsidRPr="005F4F0B">
        <w:rPr>
          <w:rFonts w:ascii="Tahoma" w:hAnsi="Tahoma" w:cs="Tahoma"/>
          <w:sz w:val="22"/>
          <w:szCs w:val="22"/>
        </w:rPr>
        <w:t>032</w:t>
      </w:r>
      <w:r w:rsidRPr="005F4F0B">
        <w:rPr>
          <w:rFonts w:ascii="Tahoma" w:hAnsi="Tahoma" w:cs="Tahoma"/>
          <w:sz w:val="22"/>
          <w:szCs w:val="22"/>
          <w:lang w:val="ru-RU"/>
        </w:rPr>
        <w:t>)</w:t>
      </w:r>
      <w:r w:rsidRPr="005F4F0B">
        <w:rPr>
          <w:rFonts w:ascii="Tahoma" w:hAnsi="Tahoma" w:cs="Tahoma"/>
          <w:sz w:val="22"/>
          <w:szCs w:val="22"/>
        </w:rPr>
        <w:t>2582545</w:t>
      </w:r>
    </w:p>
    <w:p w:rsidR="00E90EE0" w:rsidRPr="009E727E" w:rsidRDefault="00E90EE0">
      <w:pPr>
        <w:rPr>
          <w:rFonts w:ascii="Tahoma" w:hAnsi="Tahoma" w:cs="Tahoma"/>
          <w:lang w:val="uk-UA"/>
        </w:rPr>
      </w:pPr>
    </w:p>
    <w:sectPr w:rsidR="00E90EE0" w:rsidRPr="009E727E" w:rsidSect="005B5D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4016"/>
    <w:rsid w:val="00015CAB"/>
    <w:rsid w:val="001B66F1"/>
    <w:rsid w:val="00203C3E"/>
    <w:rsid w:val="00297337"/>
    <w:rsid w:val="005334CD"/>
    <w:rsid w:val="005B4E9B"/>
    <w:rsid w:val="005B5DE2"/>
    <w:rsid w:val="005C108E"/>
    <w:rsid w:val="005E4E57"/>
    <w:rsid w:val="005F4F0B"/>
    <w:rsid w:val="00690FBA"/>
    <w:rsid w:val="007362A6"/>
    <w:rsid w:val="00737643"/>
    <w:rsid w:val="00785A76"/>
    <w:rsid w:val="007D19EA"/>
    <w:rsid w:val="007E47CC"/>
    <w:rsid w:val="007F1033"/>
    <w:rsid w:val="008342BA"/>
    <w:rsid w:val="008F6BD9"/>
    <w:rsid w:val="009D2699"/>
    <w:rsid w:val="009E727E"/>
    <w:rsid w:val="00A24016"/>
    <w:rsid w:val="00A40B4E"/>
    <w:rsid w:val="00A83DBC"/>
    <w:rsid w:val="00AF2AC2"/>
    <w:rsid w:val="00B57C50"/>
    <w:rsid w:val="00B604E9"/>
    <w:rsid w:val="00C06019"/>
    <w:rsid w:val="00C478D3"/>
    <w:rsid w:val="00D01367"/>
    <w:rsid w:val="00E90EE0"/>
    <w:rsid w:val="00F1477D"/>
    <w:rsid w:val="00FA1D2D"/>
    <w:rsid w:val="00FB2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4E"/>
    <w:pPr>
      <w:suppressAutoHyphens/>
    </w:pPr>
    <w:rPr>
      <w:rFonts w:ascii="Comic Sans MS" w:hAnsi="Comic Sans MS"/>
      <w:szCs w:val="24"/>
      <w:lang w:val="en-US" w:eastAsia="ar-SA"/>
    </w:rPr>
  </w:style>
  <w:style w:type="paragraph" w:styleId="1">
    <w:name w:val="heading 1"/>
    <w:basedOn w:val="a"/>
    <w:next w:val="a"/>
    <w:link w:val="10"/>
    <w:uiPriority w:val="99"/>
    <w:qFormat/>
    <w:rsid w:val="00A40B4E"/>
    <w:pPr>
      <w:keepNext/>
      <w:tabs>
        <w:tab w:val="num" w:pos="0"/>
      </w:tabs>
      <w:spacing w:after="120"/>
      <w:outlineLvl w:val="0"/>
    </w:pPr>
    <w:rPr>
      <w:rFonts w:eastAsia="Arial Unicode MS" w:cs="Arial Unicode MS"/>
      <w:sz w:val="24"/>
      <w:u w:val="single"/>
    </w:rPr>
  </w:style>
  <w:style w:type="paragraph" w:styleId="2">
    <w:name w:val="heading 2"/>
    <w:basedOn w:val="a"/>
    <w:next w:val="a"/>
    <w:link w:val="20"/>
    <w:uiPriority w:val="9"/>
    <w:semiHidden/>
    <w:unhideWhenUsed/>
    <w:qFormat/>
    <w:rsid w:val="00A40B4E"/>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B4E"/>
    <w:rPr>
      <w:rFonts w:ascii="Comic Sans MS" w:eastAsia="Arial Unicode MS" w:hAnsi="Comic Sans MS" w:cs="Arial Unicode MS"/>
      <w:sz w:val="24"/>
      <w:szCs w:val="24"/>
      <w:u w:val="single"/>
      <w:lang w:val="en-GB" w:eastAsia="ar-SA" w:bidi="ar-SA"/>
    </w:rPr>
  </w:style>
  <w:style w:type="character" w:customStyle="1" w:styleId="20">
    <w:name w:val="Заголовок 2 Знак"/>
    <w:link w:val="2"/>
    <w:uiPriority w:val="9"/>
    <w:semiHidden/>
    <w:rsid w:val="00A40B4E"/>
    <w:rPr>
      <w:rFonts w:ascii="Cambria" w:eastAsia="Times New Roman" w:hAnsi="Cambria" w:cs="Times New Roman"/>
      <w:b/>
      <w:bCs/>
      <w:i/>
      <w:iCs/>
      <w:sz w:val="28"/>
      <w:szCs w:val="28"/>
      <w:lang w:val="en-GB" w:eastAsia="ar-SA"/>
    </w:rPr>
  </w:style>
  <w:style w:type="paragraph" w:styleId="a3">
    <w:name w:val="Title"/>
    <w:basedOn w:val="a"/>
    <w:next w:val="a4"/>
    <w:link w:val="a5"/>
    <w:uiPriority w:val="99"/>
    <w:qFormat/>
    <w:rsid w:val="00A40B4E"/>
    <w:pPr>
      <w:jc w:val="center"/>
    </w:pPr>
    <w:rPr>
      <w:rFonts w:cs="Times New Roman"/>
      <w:sz w:val="24"/>
      <w:u w:val="single"/>
    </w:rPr>
  </w:style>
  <w:style w:type="character" w:customStyle="1" w:styleId="a5">
    <w:name w:val="Название Знак"/>
    <w:link w:val="a3"/>
    <w:uiPriority w:val="99"/>
    <w:rsid w:val="00A40B4E"/>
    <w:rPr>
      <w:rFonts w:ascii="Comic Sans MS" w:hAnsi="Comic Sans MS" w:cs="Times New Roman"/>
      <w:sz w:val="24"/>
      <w:szCs w:val="24"/>
      <w:u w:val="single"/>
      <w:lang w:val="en-GB" w:eastAsia="ar-SA" w:bidi="ar-SA"/>
    </w:rPr>
  </w:style>
  <w:style w:type="paragraph" w:styleId="a4">
    <w:name w:val="Subtitle"/>
    <w:basedOn w:val="a"/>
    <w:next w:val="a"/>
    <w:link w:val="a6"/>
    <w:uiPriority w:val="11"/>
    <w:qFormat/>
    <w:rsid w:val="00A40B4E"/>
    <w:pPr>
      <w:numPr>
        <w:ilvl w:val="1"/>
      </w:numPr>
    </w:pPr>
    <w:rPr>
      <w:rFonts w:ascii="Cambria" w:eastAsiaTheme="majorEastAsia" w:hAnsi="Cambria" w:cstheme="majorBidi"/>
      <w:i/>
      <w:iCs/>
      <w:color w:val="4F81BD"/>
      <w:spacing w:val="15"/>
      <w:sz w:val="24"/>
    </w:rPr>
  </w:style>
  <w:style w:type="character" w:customStyle="1" w:styleId="a6">
    <w:name w:val="Подзаголовок Знак"/>
    <w:link w:val="a4"/>
    <w:uiPriority w:val="11"/>
    <w:rsid w:val="00A40B4E"/>
    <w:rPr>
      <w:rFonts w:ascii="Cambria" w:eastAsiaTheme="majorEastAsia" w:hAnsi="Cambria" w:cstheme="majorBidi"/>
      <w:i/>
      <w:iCs/>
      <w:color w:val="4F81BD"/>
      <w:spacing w:val="15"/>
      <w:sz w:val="24"/>
      <w:szCs w:val="24"/>
      <w:lang w:val="en-GB" w:eastAsia="ar-SA"/>
    </w:rPr>
  </w:style>
  <w:style w:type="character" w:styleId="a7">
    <w:name w:val="Hyperlink"/>
    <w:basedOn w:val="a0"/>
    <w:uiPriority w:val="99"/>
    <w:semiHidden/>
    <w:unhideWhenUsed/>
    <w:rsid w:val="00AF2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ferenciareestraci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forms/5pGjXakMPwwlZwQz2" TargetMode="External"/><Relationship Id="rId5" Type="http://schemas.openxmlformats.org/officeDocument/2006/relationships/hyperlink" Target="https://drive.google.com/open?id=1kumuaiVYdEP3kFCW4bP2l3MlpIp73_5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2287</Words>
  <Characters>1304</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lUser102</dc:creator>
  <cp:lastModifiedBy>MR</cp:lastModifiedBy>
  <cp:revision>2</cp:revision>
  <dcterms:created xsi:type="dcterms:W3CDTF">2019-04-17T14:44:00Z</dcterms:created>
  <dcterms:modified xsi:type="dcterms:W3CDTF">2019-04-17T14:44:00Z</dcterms:modified>
</cp:coreProperties>
</file>